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0BA0" w:rsidRDefault="003F7F93">
      <w:pPr>
        <w:spacing w:before="100" w:after="100" w:line="360" w:lineRule="auto"/>
        <w:jc w:val="right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June 2017</w:t>
      </w:r>
    </w:p>
    <w:p w:rsidR="00440BA0" w:rsidRDefault="00440BA0">
      <w:pPr>
        <w:spacing w:before="100" w:after="100" w:line="360" w:lineRule="auto"/>
        <w:rPr>
          <w:rFonts w:ascii="Comic Sans MS" w:eastAsia="Comic Sans MS" w:hAnsi="Comic Sans MS" w:cs="Comic Sans MS"/>
        </w:rPr>
      </w:pPr>
    </w:p>
    <w:p w:rsidR="00440BA0" w:rsidRDefault="003F7F93">
      <w:pPr>
        <w:spacing w:before="100" w:after="100"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Dear Parents: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:rsidR="00440BA0" w:rsidRDefault="003F7F93">
      <w:pPr>
        <w:spacing w:before="100" w:after="100" w:line="36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Summer is a great time for children to relax and have fun.  It is also a wonderful time for parents and children to spend time together reading and developing mathematical concepts in fun and engaging ways.  We hope that you will find the enclosed activiti</w:t>
      </w:r>
      <w:r>
        <w:rPr>
          <w:rFonts w:ascii="Comic Sans MS" w:eastAsia="Comic Sans MS" w:hAnsi="Comic Sans MS" w:cs="Comic Sans MS"/>
        </w:rPr>
        <w:t xml:space="preserve">es and suggestions helpful in sharpening and maintaining mathematical skills over the summer.  </w:t>
      </w:r>
    </w:p>
    <w:p w:rsidR="00440BA0" w:rsidRDefault="003F7F93">
      <w:pPr>
        <w:spacing w:before="100" w:after="100" w:line="36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 the reverse side of this letter</w:t>
      </w:r>
      <w:r>
        <w:rPr>
          <w:rFonts w:ascii="Comic Sans MS" w:eastAsia="Comic Sans MS" w:hAnsi="Comic Sans MS" w:cs="Comic Sans MS"/>
        </w:rPr>
        <w:t xml:space="preserve"> are some ideas of </w:t>
      </w:r>
      <w:r>
        <w:rPr>
          <w:rFonts w:ascii="Comic Sans MS" w:eastAsia="Comic Sans MS" w:hAnsi="Comic Sans MS" w:cs="Comic Sans MS"/>
          <w:b/>
        </w:rPr>
        <w:t>GAMES</w:t>
      </w:r>
      <w:r>
        <w:rPr>
          <w:rFonts w:ascii="Comic Sans MS" w:eastAsia="Comic Sans MS" w:hAnsi="Comic Sans MS" w:cs="Comic Sans MS"/>
        </w:rPr>
        <w:t xml:space="preserve"> you can do every day with your child. Most of the items on the list are commercial games. They are </w:t>
      </w:r>
      <w:proofErr w:type="gramStart"/>
      <w:r>
        <w:rPr>
          <w:rFonts w:ascii="Comic Sans MS" w:eastAsia="Comic Sans MS" w:hAnsi="Comic Sans MS" w:cs="Comic Sans MS"/>
        </w:rPr>
        <w:t>mo</w:t>
      </w:r>
      <w:r>
        <w:rPr>
          <w:rFonts w:ascii="Comic Sans MS" w:eastAsia="Comic Sans MS" w:hAnsi="Comic Sans MS" w:cs="Comic Sans MS"/>
        </w:rPr>
        <w:t>tivational</w:t>
      </w:r>
      <w:proofErr w:type="gramEnd"/>
      <w:r>
        <w:rPr>
          <w:rFonts w:ascii="Comic Sans MS" w:eastAsia="Comic Sans MS" w:hAnsi="Comic Sans MS" w:cs="Comic Sans MS"/>
        </w:rPr>
        <w:t xml:space="preserve"> and, with parent involvement, these games are an excellent way to get your child to communicate concepts while sharpening thinking skills. They also provide an opportunity for discussion and questions; encouraging your child to evaluate answers,</w:t>
      </w:r>
      <w:r>
        <w:rPr>
          <w:rFonts w:ascii="Comic Sans MS" w:eastAsia="Comic Sans MS" w:hAnsi="Comic Sans MS" w:cs="Comic Sans MS"/>
        </w:rPr>
        <w:t xml:space="preserve"> draw conclusions and strengthen reasoning skills. Games are a low stress way to engage your child in math while developing necessary skills. </w:t>
      </w:r>
      <w:r>
        <w:rPr>
          <w:rFonts w:ascii="Comic Sans MS" w:eastAsia="Comic Sans MS" w:hAnsi="Comic Sans MS" w:cs="Comic Sans MS"/>
        </w:rPr>
        <w:t>You will also find</w:t>
      </w:r>
      <w:r>
        <w:rPr>
          <w:rFonts w:ascii="Comic Sans MS" w:eastAsia="Comic Sans MS" w:hAnsi="Comic Sans MS" w:cs="Comic Sans MS"/>
        </w:rPr>
        <w:t xml:space="preserve"> a list of </w:t>
      </w:r>
      <w:r>
        <w:rPr>
          <w:rFonts w:ascii="Comic Sans MS" w:eastAsia="Comic Sans MS" w:hAnsi="Comic Sans MS" w:cs="Comic Sans MS"/>
          <w:b/>
        </w:rPr>
        <w:t>WEBSITES</w:t>
      </w:r>
      <w:r>
        <w:rPr>
          <w:rFonts w:ascii="Comic Sans MS" w:eastAsia="Comic Sans MS" w:hAnsi="Comic Sans MS" w:cs="Comic Sans MS"/>
        </w:rPr>
        <w:t xml:space="preserve"> that can assist in practicing </w:t>
      </w:r>
      <w:r>
        <w:rPr>
          <w:rFonts w:ascii="Comic Sans MS" w:eastAsia="Comic Sans MS" w:hAnsi="Comic Sans MS" w:cs="Comic Sans MS"/>
          <w:b/>
        </w:rPr>
        <w:t>BASIC FACTS</w:t>
      </w:r>
      <w:r>
        <w:rPr>
          <w:rFonts w:ascii="Comic Sans MS" w:eastAsia="Comic Sans MS" w:hAnsi="Comic Sans MS" w:cs="Comic Sans MS"/>
        </w:rPr>
        <w:t>. Information regarding national an</w:t>
      </w:r>
      <w:r>
        <w:rPr>
          <w:rFonts w:ascii="Comic Sans MS" w:eastAsia="Comic Sans MS" w:hAnsi="Comic Sans MS" w:cs="Comic Sans MS"/>
        </w:rPr>
        <w:t xml:space="preserve">d local grade-level basic fact expectations is also provided. </w:t>
      </w:r>
    </w:p>
    <w:p w:rsidR="00440BA0" w:rsidRDefault="003F7F93">
      <w:pPr>
        <w:spacing w:before="100" w:after="100" w:line="36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On the following page you will find a </w:t>
      </w:r>
      <w:r>
        <w:rPr>
          <w:rFonts w:ascii="Comic Sans MS" w:eastAsia="Comic Sans MS" w:hAnsi="Comic Sans MS" w:cs="Comic Sans MS"/>
          <w:b/>
        </w:rPr>
        <w:t>SUMMER MATH CALENDAR</w:t>
      </w:r>
      <w:r>
        <w:rPr>
          <w:rFonts w:ascii="Comic Sans MS" w:eastAsia="Comic Sans MS" w:hAnsi="Comic Sans MS" w:cs="Comic Sans MS"/>
        </w:rPr>
        <w:t>. For each day your child completes an activity, please initial at the bottom of the box. Activities can be completed in any order. Tho</w:t>
      </w:r>
      <w:r>
        <w:rPr>
          <w:rFonts w:ascii="Comic Sans MS" w:eastAsia="Comic Sans MS" w:hAnsi="Comic Sans MS" w:cs="Comic Sans MS"/>
        </w:rPr>
        <w:t>se students who return completed calendars in September will be included in Mrs.Smith’s</w:t>
      </w:r>
      <w:bookmarkStart w:id="0" w:name="_GoBack"/>
      <w:bookmarkEnd w:id="0"/>
      <w:r>
        <w:rPr>
          <w:rFonts w:ascii="Comic Sans MS" w:eastAsia="Comic Sans MS" w:hAnsi="Comic Sans MS" w:cs="Comic Sans MS"/>
        </w:rPr>
        <w:t xml:space="preserve"> special raffle!</w:t>
      </w:r>
    </w:p>
    <w:p w:rsidR="00440BA0" w:rsidRDefault="003F7F93">
      <w:pPr>
        <w:spacing w:before="100" w:after="100" w:line="360" w:lineRule="auto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Have a wonderful summer!</w:t>
      </w:r>
    </w:p>
    <w:p w:rsidR="00440BA0" w:rsidRDefault="00440BA0">
      <w:pPr>
        <w:spacing w:before="100" w:after="100"/>
        <w:ind w:left="4320" w:firstLine="720"/>
        <w:rPr>
          <w:rFonts w:ascii="Comic Sans MS" w:eastAsia="Comic Sans MS" w:hAnsi="Comic Sans MS" w:cs="Comic Sans MS"/>
        </w:rPr>
      </w:pPr>
    </w:p>
    <w:p w:rsidR="00440BA0" w:rsidRDefault="003F7F93">
      <w:pPr>
        <w:spacing w:before="100" w:after="100"/>
        <w:ind w:left="432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Sincerely,</w:t>
      </w:r>
    </w:p>
    <w:p w:rsidR="00440BA0" w:rsidRDefault="00440BA0">
      <w:pPr>
        <w:spacing w:before="100" w:after="100"/>
        <w:ind w:left="4320" w:firstLine="720"/>
        <w:rPr>
          <w:rFonts w:ascii="Comic Sans MS" w:eastAsia="Comic Sans MS" w:hAnsi="Comic Sans MS" w:cs="Comic Sans MS"/>
        </w:rPr>
      </w:pPr>
    </w:p>
    <w:p w:rsidR="00440BA0" w:rsidRDefault="00440BA0">
      <w:pPr>
        <w:spacing w:before="100" w:after="100"/>
        <w:ind w:left="4320" w:firstLine="720"/>
        <w:rPr>
          <w:rFonts w:ascii="Comic Sans MS" w:eastAsia="Comic Sans MS" w:hAnsi="Comic Sans MS" w:cs="Comic Sans MS"/>
        </w:rPr>
      </w:pPr>
    </w:p>
    <w:p w:rsidR="00440BA0" w:rsidRDefault="003F7F93">
      <w:pPr>
        <w:spacing w:before="100" w:after="100"/>
        <w:ind w:left="4320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>Jessica Kitchen</w:t>
      </w:r>
    </w:p>
    <w:p w:rsidR="00440BA0" w:rsidRDefault="003F7F93">
      <w:pPr>
        <w:spacing w:before="100" w:after="100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K-5 Math Specialist</w:t>
      </w:r>
    </w:p>
    <w:p w:rsidR="00440BA0" w:rsidRDefault="003F7F93">
      <w:pPr>
        <w:spacing w:before="100" w:after="100"/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Hingham Public Schools</w:t>
      </w:r>
    </w:p>
    <w:p w:rsidR="00440BA0" w:rsidRDefault="00440BA0">
      <w:pPr>
        <w:spacing w:before="100" w:after="100"/>
        <w:rPr>
          <w:rFonts w:ascii="Comic Sans MS" w:eastAsia="Comic Sans MS" w:hAnsi="Comic Sans MS" w:cs="Comic Sans MS"/>
        </w:rPr>
      </w:pPr>
    </w:p>
    <w:p w:rsidR="00440BA0" w:rsidRDefault="003F7F93">
      <w:pPr>
        <w:spacing w:line="36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GAMES</w:t>
      </w:r>
    </w:p>
    <w:p w:rsidR="00440BA0" w:rsidRDefault="003F7F93">
      <w:pPr>
        <w:spacing w:before="100" w:after="100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The following list of games, exce</w:t>
      </w:r>
      <w:r>
        <w:rPr>
          <w:rFonts w:ascii="Comic Sans MS" w:eastAsia="Comic Sans MS" w:hAnsi="Comic Sans MS" w:cs="Comic Sans MS"/>
          <w:sz w:val="22"/>
          <w:szCs w:val="22"/>
        </w:rPr>
        <w:t xml:space="preserve">rpted from </w:t>
      </w:r>
      <w:r>
        <w:rPr>
          <w:rFonts w:ascii="Comic Sans MS" w:eastAsia="Comic Sans MS" w:hAnsi="Comic Sans MS" w:cs="Comic Sans MS"/>
          <w:i/>
          <w:sz w:val="22"/>
          <w:szCs w:val="22"/>
        </w:rPr>
        <w:t>Games and Their Uses in Mathematics Learning (Sharma, 2008)</w:t>
      </w:r>
      <w:r>
        <w:rPr>
          <w:rFonts w:ascii="Comic Sans MS" w:eastAsia="Comic Sans MS" w:hAnsi="Comic Sans MS" w:cs="Comic Sans MS"/>
          <w:sz w:val="22"/>
          <w:szCs w:val="22"/>
        </w:rPr>
        <w:t xml:space="preserve">, will help your child sharpen thinking skills, make inferences, draw conclusions, evaluate answers and strengthen reasoning. Beside each title are the skills and concepts that are reinforced. </w:t>
      </w:r>
    </w:p>
    <w:tbl>
      <w:tblPr>
        <w:tblStyle w:val="a"/>
        <w:tblW w:w="1093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5"/>
        <w:gridCol w:w="5430"/>
      </w:tblGrid>
      <w:tr w:rsidR="00440BA0">
        <w:tc>
          <w:tcPr>
            <w:tcW w:w="5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Simon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or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Mini Wizard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(sequencing, following multi-step directi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ons, visual/auditory memory)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Battleship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(spatial orientation, visualization, visual memory)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Cribbage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(number relationships, patterns, visual clusters)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Quarto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(spatial orientation/space organization, patterns, classification)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Concentration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(visualization, pattern recognition, visual memory)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Chinese Checkers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(patterns, spatial orientation/space organization)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Pachisi</w:t>
            </w:r>
            <w:proofErr w:type="spellEnd"/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(sequencing, patterns, number relationships)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Checkers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(sequencing, patterns, spatial orientation/space organization)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63" w:hanging="27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Othello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(pa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ttern recognition, spatial orientation, visual clustering, focus on more than one aspect, variable or concept of time)</w:t>
            </w:r>
          </w:p>
        </w:tc>
        <w:tc>
          <w:tcPr>
            <w:tcW w:w="5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Score Four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or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Connect Four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(pattern recognition, spatial orientation, visual clustering, geometric patterns)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Krypto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(number sense, basic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arithmetical facts)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Kalah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or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Mankalah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(sequencing, counting, estimation, visual clustering)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Master Mind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(sequencing, logical deduction, pattern recognition)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Four Sight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(spatial orientation, pattern recognition, logical deduction)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Black-Box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(logical deducti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on)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Card Games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(visual clustering, pattern recognition, number facts)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Dominos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(visual clustering, pattern recognition, number facts)</w:t>
            </w:r>
          </w:p>
          <w:p w:rsidR="00440BA0" w:rsidRDefault="003F7F93">
            <w:pPr>
              <w:numPr>
                <w:ilvl w:val="0"/>
                <w:numId w:val="2"/>
              </w:numPr>
              <w:spacing w:before="100" w:after="100"/>
              <w:ind w:left="347" w:hanging="360"/>
              <w:contextualSpacing/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Number War Games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(visual clustering, arithmetic facts, mathematics concepts)</w:t>
            </w:r>
          </w:p>
        </w:tc>
      </w:tr>
    </w:tbl>
    <w:p w:rsidR="00440BA0" w:rsidRDefault="00440BA0">
      <w:pPr>
        <w:spacing w:before="100" w:after="100"/>
        <w:ind w:firstLine="72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:rsidR="00440BA0" w:rsidRDefault="003F7F93">
      <w:pPr>
        <w:spacing w:before="100" w:after="100"/>
        <w:ind w:firstLine="72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BASIC FACTS</w:t>
      </w:r>
    </w:p>
    <w:tbl>
      <w:tblPr>
        <w:tblStyle w:val="a0"/>
        <w:tblW w:w="110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6615"/>
      </w:tblGrid>
      <w:tr w:rsidR="00440BA0">
        <w:trPr>
          <w:jc w:val="center"/>
        </w:trPr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BA0" w:rsidRDefault="003F7F93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Websites</w:t>
            </w:r>
          </w:p>
          <w:p w:rsidR="00440BA0" w:rsidRDefault="003F7F93">
            <w:pPr>
              <w:numPr>
                <w:ilvl w:val="0"/>
                <w:numId w:val="1"/>
              </w:numPr>
              <w:spacing w:before="100" w:after="100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hyperlink r:id="rId5">
              <w:r>
                <w:rPr>
                  <w:rFonts w:ascii="Comic Sans MS" w:eastAsia="Comic Sans MS" w:hAnsi="Comic Sans MS" w:cs="Comic Sans MS"/>
                  <w:u w:val="single"/>
                </w:rPr>
                <w:t>www.xtramath.org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(If your child does not remember their password, follow the steps on the website to register your child). </w:t>
            </w:r>
          </w:p>
          <w:p w:rsidR="00440BA0" w:rsidRDefault="003F7F93">
            <w:pPr>
              <w:numPr>
                <w:ilvl w:val="0"/>
                <w:numId w:val="1"/>
              </w:numPr>
              <w:spacing w:before="100" w:after="100"/>
              <w:ind w:hanging="360"/>
              <w:contextualSpacing/>
            </w:pPr>
            <w:hyperlink r:id="rId6">
              <w:r>
                <w:rPr>
                  <w:rFonts w:ascii="Comic Sans MS" w:eastAsia="Comic Sans MS" w:hAnsi="Comic Sans MS" w:cs="Comic Sans MS"/>
                  <w:highlight w:val="white"/>
                  <w:u w:val="single"/>
                </w:rPr>
                <w:t>https://www.varsitytutors.com</w:t>
              </w:r>
              <w:r>
                <w:rPr>
                  <w:rFonts w:ascii="Comic Sans MS" w:eastAsia="Comic Sans MS" w:hAnsi="Comic Sans MS" w:cs="Comic Sans MS"/>
                  <w:highlight w:val="white"/>
                  <w:u w:val="single"/>
                </w:rPr>
                <w:lastRenderedPageBreak/>
                <w:t>/ap</w:t>
              </w:r>
              <w:r>
                <w:rPr>
                  <w:rFonts w:ascii="Comic Sans MS" w:eastAsia="Comic Sans MS" w:hAnsi="Comic Sans MS" w:cs="Comic Sans MS"/>
                  <w:highlight w:val="white"/>
                  <w:u w:val="single"/>
                </w:rPr>
                <w:t>lusmath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40BA0" w:rsidRDefault="003F7F93">
            <w:pPr>
              <w:numPr>
                <w:ilvl w:val="0"/>
                <w:numId w:val="1"/>
              </w:numPr>
              <w:spacing w:before="100" w:after="100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hyperlink r:id="rId7">
              <w:r>
                <w:rPr>
                  <w:rFonts w:ascii="Comic Sans MS" w:eastAsia="Comic Sans MS" w:hAnsi="Comic Sans MS" w:cs="Comic Sans MS"/>
                  <w:u w:val="single"/>
                </w:rPr>
                <w:t>http://www.mathsisfun.com</w:t>
              </w:r>
            </w:hyperlink>
          </w:p>
          <w:p w:rsidR="00440BA0" w:rsidRDefault="003F7F93">
            <w:pPr>
              <w:numPr>
                <w:ilvl w:val="0"/>
                <w:numId w:val="1"/>
              </w:numPr>
              <w:spacing w:before="100" w:after="100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hyperlink r:id="rId8">
              <w:r>
                <w:rPr>
                  <w:rFonts w:ascii="Comic Sans MS" w:eastAsia="Comic Sans MS" w:hAnsi="Comic Sans MS" w:cs="Comic Sans MS"/>
                  <w:u w:val="single"/>
                </w:rPr>
                <w:t>http://illuminations.nctm.org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  <w:p w:rsidR="00440BA0" w:rsidRDefault="003F7F93">
            <w:pPr>
              <w:numPr>
                <w:ilvl w:val="0"/>
                <w:numId w:val="1"/>
              </w:numPr>
              <w:spacing w:before="100" w:after="100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hyperlink r:id="rId9">
              <w:r>
                <w:rPr>
                  <w:rFonts w:ascii="Comic Sans MS" w:eastAsia="Comic Sans MS" w:hAnsi="Comic Sans MS" w:cs="Comic Sans MS"/>
                  <w:u w:val="single"/>
                </w:rPr>
                <w:t>http://www.ixl.com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6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0BA0" w:rsidRDefault="003F7F93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lastRenderedPageBreak/>
              <w:t>End of Year Expectations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Kindergarten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  Fluently add and subtract within 5.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1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Grade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  Fluently add and subtract within 10.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2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Grade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  Fluently add and subtract within 20.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3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Grade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 Fluently multiply all products up to 10×10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lastRenderedPageBreak/>
              <w:t>and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related division facts.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4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Grade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:  Fluently multiply all products up to 12×12 </w:t>
            </w: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and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 xml:space="preserve"> related division facts.</w:t>
            </w:r>
          </w:p>
          <w:p w:rsidR="00440BA0" w:rsidRDefault="003F7F93">
            <w:pPr>
              <w:spacing w:before="100" w:after="100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>5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6"/>
                <w:szCs w:val="26"/>
                <w:u w:val="single"/>
              </w:rPr>
              <w:t xml:space="preserve"> Grade</w:t>
            </w:r>
            <w:r>
              <w:rPr>
                <w:rFonts w:ascii="Comic Sans MS" w:eastAsia="Comic Sans MS" w:hAnsi="Comic Sans MS" w:cs="Comic Sans MS"/>
                <w:sz w:val="26"/>
                <w:szCs w:val="26"/>
              </w:rPr>
              <w:t>: Keep practicing all fact fluency!</w:t>
            </w:r>
          </w:p>
          <w:p w:rsidR="00440BA0" w:rsidRDefault="00440BA0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440BA0" w:rsidRDefault="00440BA0">
      <w:pPr>
        <w:spacing w:before="100" w:after="100"/>
        <w:rPr>
          <w:rFonts w:ascii="Comic Sans MS" w:eastAsia="Comic Sans MS" w:hAnsi="Comic Sans MS" w:cs="Comic Sans MS"/>
          <w:sz w:val="26"/>
          <w:szCs w:val="26"/>
        </w:rPr>
      </w:pPr>
    </w:p>
    <w:sectPr w:rsidR="00440BA0">
      <w:pgSz w:w="12240" w:h="15840"/>
      <w:pgMar w:top="1152" w:right="1152" w:bottom="1152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E45F6"/>
    <w:multiLevelType w:val="multilevel"/>
    <w:tmpl w:val="4A169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" w15:restartNumberingAfterBreak="0">
    <w:nsid w:val="3E4A6C1C"/>
    <w:multiLevelType w:val="multilevel"/>
    <w:tmpl w:val="6CB60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A0"/>
    <w:rsid w:val="003F7F93"/>
    <w:rsid w:val="00440BA0"/>
    <w:rsid w:val="00B5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853C0-28A8-4C02-AA7B-C3FBA559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100" w:after="100"/>
      <w:outlineLvl w:val="2"/>
    </w:pPr>
    <w:rPr>
      <w:rFonts w:ascii="Verdana" w:eastAsia="Verdana" w:hAnsi="Verdana" w:cs="Verdana"/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minations.nct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isf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rsitytutors.com/aplusmat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tramath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3</cp:revision>
  <dcterms:created xsi:type="dcterms:W3CDTF">2017-06-24T16:08:00Z</dcterms:created>
  <dcterms:modified xsi:type="dcterms:W3CDTF">2017-06-24T16:09:00Z</dcterms:modified>
</cp:coreProperties>
</file>